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108" w:type="dxa"/>
        <w:tblLook w:val="01E0"/>
      </w:tblPr>
      <w:tblGrid>
        <w:gridCol w:w="9104"/>
      </w:tblGrid>
      <w:tr w:rsidR="007D4668" w:rsidRPr="007D4668" w:rsidTr="007D4668">
        <w:trPr>
          <w:jc w:val="center"/>
        </w:trPr>
        <w:tc>
          <w:tcPr>
            <w:tcW w:w="9104" w:type="dxa"/>
            <w:hideMark/>
          </w:tcPr>
          <w:tbl>
            <w:tblPr>
              <w:tblW w:w="8789" w:type="dxa"/>
              <w:jc w:val="center"/>
              <w:tblLook w:val="01E0"/>
            </w:tblPr>
            <w:tblGrid>
              <w:gridCol w:w="2931"/>
              <w:gridCol w:w="2931"/>
              <w:gridCol w:w="2927"/>
            </w:tblGrid>
            <w:tr w:rsidR="007D4668" w:rsidRPr="007D4668">
              <w:trPr>
                <w:trHeight w:val="317"/>
                <w:jc w:val="center"/>
              </w:trPr>
              <w:tc>
                <w:tcPr>
                  <w:tcW w:w="2931" w:type="dxa"/>
                  <w:tcBorders>
                    <w:top w:val="nil"/>
                    <w:left w:val="nil"/>
                    <w:bottom w:val="single" w:sz="4" w:space="0" w:color="660066"/>
                    <w:right w:val="nil"/>
                  </w:tcBorders>
                  <w:vAlign w:val="center"/>
                  <w:hideMark/>
                </w:tcPr>
                <w:p w:rsidR="007D4668" w:rsidRPr="007D4668" w:rsidRDefault="007D4668" w:rsidP="007D4668">
                  <w:pPr>
                    <w:tabs>
                      <w:tab w:val="left" w:pos="567"/>
                      <w:tab w:val="center" w:pos="994"/>
                      <w:tab w:val="center" w:pos="3543"/>
                      <w:tab w:val="right" w:pos="6520"/>
                    </w:tabs>
                    <w:spacing w:after="0" w:line="240" w:lineRule="exact"/>
                    <w:rPr>
                      <w:rFonts w:ascii="Arial" w:eastAsia="Times New Roman" w:hAnsi="Arial" w:cs="Arial"/>
                      <w:b/>
                      <w:sz w:val="16"/>
                      <w:szCs w:val="16"/>
                    </w:rPr>
                  </w:pPr>
                  <w:r w:rsidRPr="007D4668">
                    <w:rPr>
                      <w:rFonts w:ascii="Arial" w:eastAsia="Times New Roman" w:hAnsi="Arial" w:cs="Arial"/>
                      <w:sz w:val="16"/>
                      <w:szCs w:val="16"/>
                    </w:rPr>
                    <w:t>5 Haziran 2012 SALI</w:t>
                  </w:r>
                </w:p>
              </w:tc>
              <w:tc>
                <w:tcPr>
                  <w:tcW w:w="2931" w:type="dxa"/>
                  <w:tcBorders>
                    <w:top w:val="nil"/>
                    <w:left w:val="nil"/>
                    <w:bottom w:val="single" w:sz="4" w:space="0" w:color="660066"/>
                    <w:right w:val="nil"/>
                  </w:tcBorders>
                  <w:vAlign w:val="center"/>
                  <w:hideMark/>
                </w:tcPr>
                <w:p w:rsidR="007D4668" w:rsidRPr="007D4668" w:rsidRDefault="007D4668" w:rsidP="007D4668">
                  <w:pPr>
                    <w:tabs>
                      <w:tab w:val="left" w:pos="567"/>
                      <w:tab w:val="center" w:pos="994"/>
                      <w:tab w:val="center" w:pos="3543"/>
                      <w:tab w:val="right" w:pos="6520"/>
                    </w:tabs>
                    <w:spacing w:after="0" w:line="240" w:lineRule="exact"/>
                    <w:jc w:val="center"/>
                    <w:rPr>
                      <w:rFonts w:ascii="Palatino Linotype" w:eastAsia="Times New Roman" w:hAnsi="Palatino Linotype" w:cs="Times New Roman"/>
                      <w:b/>
                      <w:sz w:val="24"/>
                      <w:szCs w:val="24"/>
                    </w:rPr>
                  </w:pPr>
                  <w:r w:rsidRPr="007D4668">
                    <w:rPr>
                      <w:rFonts w:ascii="Palatino Linotype" w:eastAsia="Times New Roman" w:hAnsi="Palatino Linotype" w:cs="Times New Roman"/>
                      <w:b/>
                      <w:sz w:val="24"/>
                      <w:szCs w:val="24"/>
                    </w:rPr>
                    <w:t>Resmî Gazete</w:t>
                  </w:r>
                </w:p>
              </w:tc>
              <w:tc>
                <w:tcPr>
                  <w:tcW w:w="2927" w:type="dxa"/>
                  <w:tcBorders>
                    <w:top w:val="nil"/>
                    <w:left w:val="nil"/>
                    <w:bottom w:val="single" w:sz="4" w:space="0" w:color="660066"/>
                    <w:right w:val="nil"/>
                  </w:tcBorders>
                  <w:vAlign w:val="center"/>
                  <w:hideMark/>
                </w:tcPr>
                <w:p w:rsidR="007D4668" w:rsidRPr="007D4668" w:rsidRDefault="007D4668" w:rsidP="007D4668">
                  <w:pPr>
                    <w:spacing w:before="100" w:beforeAutospacing="1" w:after="100" w:afterAutospacing="1" w:line="240" w:lineRule="auto"/>
                    <w:jc w:val="right"/>
                    <w:rPr>
                      <w:rFonts w:ascii="Arial" w:eastAsia="Times New Roman" w:hAnsi="Arial" w:cs="Arial"/>
                      <w:b/>
                      <w:sz w:val="16"/>
                      <w:szCs w:val="16"/>
                    </w:rPr>
                  </w:pPr>
                  <w:r w:rsidRPr="007D4668">
                    <w:rPr>
                      <w:rFonts w:ascii="Arial" w:eastAsia="Times New Roman" w:hAnsi="Arial" w:cs="Arial"/>
                      <w:sz w:val="16"/>
                      <w:szCs w:val="16"/>
                    </w:rPr>
                    <w:t>Sayı : 28314</w:t>
                  </w:r>
                </w:p>
              </w:tc>
            </w:tr>
            <w:tr w:rsidR="007D4668" w:rsidRPr="007D4668">
              <w:trPr>
                <w:trHeight w:val="480"/>
                <w:jc w:val="center"/>
              </w:trPr>
              <w:tc>
                <w:tcPr>
                  <w:tcW w:w="8789" w:type="dxa"/>
                  <w:gridSpan w:val="3"/>
                  <w:vAlign w:val="center"/>
                  <w:hideMark/>
                </w:tcPr>
                <w:p w:rsidR="007D4668" w:rsidRPr="007D4668" w:rsidRDefault="007D4668" w:rsidP="007D4668">
                  <w:pPr>
                    <w:spacing w:before="100" w:beforeAutospacing="1" w:after="100" w:afterAutospacing="1" w:line="240" w:lineRule="auto"/>
                    <w:jc w:val="center"/>
                    <w:rPr>
                      <w:rFonts w:ascii="Arial" w:eastAsia="Times New Roman" w:hAnsi="Arial" w:cs="Arial"/>
                      <w:b/>
                      <w:sz w:val="18"/>
                      <w:szCs w:val="18"/>
                    </w:rPr>
                  </w:pPr>
                  <w:r w:rsidRPr="007D4668">
                    <w:rPr>
                      <w:rFonts w:ascii="Arial" w:eastAsia="Times New Roman" w:hAnsi="Arial" w:cs="Arial"/>
                      <w:b/>
                      <w:sz w:val="18"/>
                      <w:szCs w:val="18"/>
                    </w:rPr>
                    <w:t>YÖNETMELİK</w:t>
                  </w:r>
                </w:p>
              </w:tc>
            </w:tr>
            <w:tr w:rsidR="007D4668" w:rsidRPr="007D4668">
              <w:trPr>
                <w:trHeight w:val="480"/>
                <w:jc w:val="center"/>
              </w:trPr>
              <w:tc>
                <w:tcPr>
                  <w:tcW w:w="8789" w:type="dxa"/>
                  <w:gridSpan w:val="3"/>
                  <w:vAlign w:val="center"/>
                  <w:hideMark/>
                </w:tcPr>
                <w:p w:rsidR="007D4668" w:rsidRPr="007D4668" w:rsidRDefault="007D4668" w:rsidP="007D4668">
                  <w:pPr>
                    <w:tabs>
                      <w:tab w:val="left" w:pos="566"/>
                    </w:tabs>
                    <w:spacing w:after="0" w:line="240" w:lineRule="exact"/>
                    <w:ind w:firstLine="566"/>
                    <w:rPr>
                      <w:rFonts w:ascii="Times New Roman" w:eastAsia="Times New Roman" w:hAnsi="Times New Roman" w:cs="Times New Roman"/>
                      <w:sz w:val="18"/>
                      <w:szCs w:val="18"/>
                      <w:u w:val="single"/>
                      <w:lang w:eastAsia="en-US"/>
                    </w:rPr>
                  </w:pPr>
                  <w:r w:rsidRPr="007D4668">
                    <w:rPr>
                      <w:rFonts w:ascii="Times New Roman" w:eastAsia="Times New Roman" w:hAnsi="Times New Roman" w:cs="Times New Roman"/>
                      <w:sz w:val="18"/>
                      <w:szCs w:val="18"/>
                      <w:u w:val="single"/>
                      <w:lang w:eastAsia="en-US"/>
                    </w:rPr>
                    <w:t>Siirt Üniversitesinden:</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SİİRT ÜNİVERSİTESİ ÖN LİSANS VE LİSANS EĞİTİM-ÖĞRETİM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VE SINAV YÖNETMELİĞİ</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BİRİNCİ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Amaç, Kapsam, Dayanak ve Tanımlar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Amaç</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Yönetmeliğin amacı; Siirt Üniversitesine bağlı fakülte, yüksekokul ve meslek yüksekokullarının ön lisans ve lisans kayıt, eğitim-öğretim ve sınav esaslarını düzenlemektir.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Kapsam</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 Siirt Üniversitesine bağlı fakülte, yüksekokul ve meslek yüksekokullarındaki kayıt, eğitim-öğretim ve sınav esaslarına ilişkin hükümleri kapsar.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Dayanak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 4/11/1981 tarihli ve 2547 sayılı Yükseköğretim Kanununun 5,14 ve 44 üncü maddelerine dayanılarak hazırlanmıştır.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Tanımlar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4</w:t>
                  </w:r>
                  <w:r w:rsidR="007D4668" w:rsidRPr="007D4668">
                    <w:rPr>
                      <w:rFonts w:ascii="Times New Roman" w:eastAsia="Times New Roman" w:hAnsi="Times New Roman" w:cs="Times New Roman"/>
                      <w:b/>
                      <w:sz w:val="18"/>
                      <w:szCs w:val="18"/>
                      <w:lang w:eastAsia="en-US"/>
                    </w:rPr>
                    <w:t xml:space="preserve"> –</w:t>
                  </w:r>
                  <w:r w:rsidR="007D4668" w:rsidRPr="007D4668">
                    <w:rPr>
                      <w:rFonts w:ascii="Times New Roman" w:eastAsia="Times New Roman" w:hAnsi="Times New Roman" w:cs="Times New Roman"/>
                      <w:sz w:val="18"/>
                      <w:szCs w:val="18"/>
                      <w:lang w:eastAsia="en-US"/>
                    </w:rPr>
                    <w:t>(1) Bu Yönetmelikte geçen;</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 İlgili birim: Üniversiteye bağlı fakülte, yüksekokul ve meslek yüksekokullarını,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b) İlgili kurul: Fakülte, yüksekokul ve meslek yüksekokulu kurulunu,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c) İlgili yönetim kurulu: Fakülte, yüksekokul ve meslek yüksekokulu yönetim kurulunu,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ç) Öğrenci İşleri Daire Başkanlığı: Siirt Üniversitesi Öğrenci İşleri Daire Başkanlığını,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d) ÖSYM: Ölçme, Seçme ve Yerleştirme Merkezi Başkanlığını,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e) Rektörlük: Siirt Üniversitesi Rektörlüğünü,</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f) Senato: Siirt Üniversitesi Senatosunu,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g) Üniversite: Siirt Üniversitesini,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ğ) Üniversite Yönetim Kurulu: Siirt Üniversitesi Yönetim Kurulunu</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ifade eder.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İKİNCİ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 xml:space="preserve">Kayıt-Kabul, Kayıt Yenileme, Kayıt Sildirme, İlişik Kesme, </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Yatay ve Dikey Geçişler, Kayıt Dondurma</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Öğrenci kabulü</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Üniversiteye bağlı fakülte, yüksekokul ve meslek yüksekokulu programlarının birinci sınıflarına öğrenci kabulü, ÖSYM tarafından düzenlenen sınav sonuçlarına göre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Özel yetenek gerektiren programların sınavları ile seçme ve yerleştirme işlemleri, Yükseköğretim Kurulu kararları çerçevesinde Üniversite tarafından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işlemleri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6</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Üniversiteye yeni kayıt yaptıracak öğrencilerin kayıt tarihleri ÖSYM'nin belirlediği tarihler arasında yapılır. Belirlenen tarihlerde kayıt yaptırmayan adaylar kayıt haklarını kaybeder. Kayıt için istenilen belgeler ÖSYM ve Üniversite tarafından belirlenir.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Üniversiteye kesin kayıt hakkı kazanan adaylar kayıt için şahsen başvuru yaparlar. Ancak mazeretini belgelendiren adaylar kesin kayıtları vekilleri tarafından yaptırabilir.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Kayıt için istenen belgelerin aslı veya Üniversite tarafından onaylı örneği kabul edilir. Askerlik durumu ve adli sicil kaydına ilişkin olarak ise adayın yazılı beyanına dayanılarak işlem yapılır. Kesin kayıt yaptıran öğrencilerin sunduğu bilgi ve belgelerin doğru olmadığı anlaşılırsa ilgili yönetim kurulu tarafından kayıtları iptal edilir. Söz konusu şahıslara verilen diploma dahil tüm belgeler iptal edilerek haklarında gerekli kanuni işlem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(4) Özel yetenek sınavı ile öğrenci alan birimlere alınacak öğrenciler ilgili iş ve işlemler Senato tarafından belirlenen esaslara göre düzenlenir.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yenileme ve ders kayıt koşulu</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Birinci ve ikinci yarıyıl öğrencileri kayıtlı oldukları programdaki tüm dersleri almakla yükümlüdür. Lisans programlarındaki dersler zorunlu ve seçmeli derslerden oluşur. Seçmeli dersler, öğrencinin zorunlu dersler dışında kendi alanı içinden veya dışından ve kendi isteği ile aldığı derslerdir. Öğrenci bu dersi, kayıtlı olduğu programdaki seçmeli ders adı ile açılmış derslerden seçebileceği gibi, aynı yıldaki başka programların seçmeli veya zorunlu dersleri arasından da seçebilir.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Öğrenci, yarıyıl başında öncelikle başarısız olduğu dersleri almak zorundadır. Bir öğrencinin bir yarıyılda tekrarlamak zorunda olduğu dersler de dahil olmak üzere, alabileceği teorik ve uygulamalı derslerin toplamı kırk saatten fazla olamaz.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 xml:space="preserve">(3) Öğrenciler; her yarıyıl başında akademik takvimde belirtilen süre içerisinde harçlarını yatırarak, bilgisayar ortamında kayıtlarını yenilemek ve danışmanlarına onaylatmak zorundadır. Bu süre içerisinde haklı veya geçerli bir </w:t>
                  </w:r>
                  <w:r w:rsidRPr="007D4668">
                    <w:rPr>
                      <w:rFonts w:ascii="Times New Roman" w:eastAsia="Times New Roman" w:hAnsi="Times New Roman" w:cs="Times New Roman"/>
                      <w:sz w:val="18"/>
                      <w:szCs w:val="18"/>
                      <w:lang w:eastAsia="en-US"/>
                    </w:rPr>
                    <w:lastRenderedPageBreak/>
                    <w:t>nedeni olmadan, kaydını yenilemeyen, ayrıca mazeretleri ilgili yönetim kurulu tarafından kabul edilmeyen öğrenciler; o yarıyıldaki derslere, sınavlara giremez ve öğrencilik haklarından yararlanamazlar. Mazeretleri nedeniyle kayıt süresi içerisinde kaydını yenilemeyen öğrencilerin, kayıt yenileme süresinin bitimini izleyen beş iş günü içerisinde ilgili birime başvurmaları ve ilgili yönetim kurulu tarafından mazeretlerinin uygun görülmesi halinde kayıtları yapılır.</w:t>
                  </w:r>
                </w:p>
                <w:p w:rsid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(4) Derslere kayıt ve yenileme işlemlerinin tümünden öğrenciler sorumlu olup, bu işlemleri kendileri yapmakla yükümlüdürler.</w:t>
                  </w:r>
                </w:p>
                <w:p w:rsidR="00074C69" w:rsidRPr="007D4668" w:rsidRDefault="00074C69"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(5)</w:t>
                  </w:r>
                  <w:r w:rsidR="001C32D7">
                    <w:rPr>
                      <w:rFonts w:ascii="Times New Roman" w:eastAsia="Times New Roman" w:hAnsi="Times New Roman" w:cs="Times New Roman"/>
                      <w:b/>
                      <w:sz w:val="18"/>
                      <w:szCs w:val="18"/>
                      <w:lang w:eastAsia="en-US"/>
                    </w:rPr>
                    <w:t>(Değişik:RG-13/07/2014-29059)</w:t>
                  </w:r>
                  <w:r>
                    <w:rPr>
                      <w:rFonts w:ascii="Times New Roman" w:eastAsia="Times New Roman" w:hAnsi="Times New Roman" w:cs="Times New Roman"/>
                      <w:sz w:val="18"/>
                      <w:szCs w:val="18"/>
                      <w:lang w:eastAsia="en-US"/>
                    </w:rPr>
                    <w:t xml:space="preserve"> Üçüncü yarıyıldan itibaren ön şartlı dersler hariç, kayıtlı olduğu programda bulunduğu yarıyıla kadar alması gereken derslerin tümünü alarak başarılı olan ayrıca genel akademik başarı not ortalamaları 80 ve üstü olan öğrenciler, bir yarıyılda alabileceği azami ders saatini aşamayacak şekilde bir üst sınıftan 2 ders alabilirler.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dondurma</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İlgili birim yönetim kurulu kararı ile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Öğrencinin kaydının dondurulabilmesi için haklı ve geçerli nedenlerin bulunması gerekir. Haklı ve geçerli nedenler şunlardır: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 Sağlık sorunu nedeniyle öğrenimine ara vermek zorunda kalması ve bunu üniversite hastaneleri veya diğer sağlık kuruluşlarından alınacak sağlık raporu ile belgelendirmesi.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b) 2547 sayılı Kanunun 7 nci maddesinin birinci fıkrasının (d) bendinin (2) numaralı alt bendinin üçüncü paragrafı uyarınca, eğitim-öğretimin aksaması sonucunu doğuracak olaylar dolayısıyla öğrenime Yükseköğretim Kurulu kararıyla ara verilmesi.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c) Mahallin en büyük mülki amirince verilecek bir yazıyla belgelenmiş olması koşuluyla, doğal afetler nedeniyle öğrencinin öğrenimine ara vermek zorunda kalmış olması.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d) Ekonomik nedenlerle izin talep eden ve bu durumunu belgeleyen öğrencinin, ilgili yönetim kurulunun izniyle eğitim ve öğretimine ara vermesi.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e) Genel hükümlere göre kesinleşmiş bir mahkumiyet halinin veya 13/1/1985 tarihli ve 18634 sayılı Resmî Gazete’de yayımlanan Yükseköğretim Kurumları Öğrenci Disiplin Yönetmeliğine göre yükseköğretim kurumundan süreli olarak çıkarma cezası dışındaki hallerin bulunması.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f) Öğrencinin askerlik tecil hakkını kaybetmesi veya tecilinin kaldırılması sureti ile askere alınması.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g) Öğrencinin tutukluluk hali.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ğ) İlgili birim yönetim kurulu tarafından mazeret olarak kabul edilecek diğer hallerin ortaya çıkması.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Kayıt sildirme</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 xml:space="preserve">MADDE 9 – </w:t>
                  </w:r>
                  <w:r w:rsidRPr="007D4668">
                    <w:rPr>
                      <w:rFonts w:ascii="Times New Roman" w:eastAsia="Times New Roman" w:hAnsi="Times New Roman" w:cs="Times New Roman"/>
                      <w:sz w:val="18"/>
                      <w:szCs w:val="18"/>
                      <w:lang w:eastAsia="en-US"/>
                    </w:rPr>
                    <w:t>(1) Öğrenciler; ilgili birime dilekçe ile başvurarak kendi isteğiyle kayıtlarını sildirebilirler. Kaydı silinen öğrenciye ödemiş olduğu harç ve ücretler iade edilmez.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İlişik kesme</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10</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Öğrencilerin aşağıda belirtilen durumlarda Üniversite ile ilişiği kesilir: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 Öğrencinin, Yükseköğretim Kurumları Öğrenci Disiplin Yönetmeliğine göre yükseköğretim kurumundan çıkarma cezası almış olması.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b) Öğrencinin sağlık nedeniyle öğrenimine devam edemeyeceğini, sağlık kuruluşlarından alınacak sağlık raporu ile belgelendirmesi ve raporun ilgili yönetim kurulu tarafından kabul edilmesi.</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Kendi isteği ile kaydı silinen veya mezun olarak Üniversiteden ayrılan öğrencilerin ilişik kesme işlemlerini yapmaları şarttır.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Yatay ve dikey geçişler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11</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Kurum içi ve kurumlar arası yatay geçişler 24/4/2010 tarihli ve 27561 sayılı Resmî Gazete’ de yayımlanan Yükseköğretim Kurumlarında Ön</w:t>
                  </w:r>
                  <w:r w:rsidR="007D4668">
                    <w:rPr>
                      <w:rFonts w:ascii="Times New Roman" w:eastAsia="Times New Roman" w:hAnsi="Times New Roman" w:cs="Times New Roman"/>
                      <w:sz w:val="18"/>
                      <w:szCs w:val="18"/>
                      <w:lang w:eastAsia="en-US"/>
                    </w:rPr>
                    <w:t xml:space="preserve"> L</w:t>
                  </w:r>
                  <w:r w:rsidR="007D4668" w:rsidRPr="007D4668">
                    <w:rPr>
                      <w:rFonts w:ascii="Times New Roman" w:eastAsia="Times New Roman" w:hAnsi="Times New Roman" w:cs="Times New Roman"/>
                      <w:sz w:val="18"/>
                      <w:szCs w:val="18"/>
                      <w:lang w:eastAsia="en-US"/>
                    </w:rPr>
                    <w:t>isans ve Lisans Düzeyindeki Programlar Arasında Geçiş, Çift Anadal, Yandal ile Kurumlar Arası Kredi Transferi Yapılması Esaslarına İlişkin Yönetmelik ile Senato tarafından belirlenen esaslara göre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Meslek yüksekokulu mezunlarının Siirt Üniversitesine bağlı lisans programlarına dikey geçişleri 19/2/2002 tarihli ve 24676 sayılı Resmî Gazete’de yayımlanan Meslek Yüksekokulları ve Açıköğretim Ön Lisans Programları Mezunlarının Lisans Öğrenimine Devamları Hakkında Yönetmelik hükümlerine göre yapılır.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ÜÇÜNCÜ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Eğitim-Öğretimle İlgili Esaslar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türleri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Üniversitede, ilgili kurulların kararı ve Senatonun onayı ile örgün eğitim, yaygın eğitim, ikinci öğretim, Açıköğretim, uzaktan eğitim programları açılabilir.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takvimi ve dönemleri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 xml:space="preserve">(1) Üniversiteye bağlı fakülte ve yüksekokullarda eğitim-öğretim; Senatonun belirlediği </w:t>
                  </w:r>
                  <w:r w:rsidR="007D4668" w:rsidRPr="007D4668">
                    <w:rPr>
                      <w:rFonts w:ascii="Times New Roman" w:eastAsia="Times New Roman" w:hAnsi="Times New Roman" w:cs="Times New Roman"/>
                      <w:sz w:val="18"/>
                      <w:szCs w:val="18"/>
                      <w:lang w:eastAsia="en-US"/>
                    </w:rPr>
                    <w:lastRenderedPageBreak/>
                    <w:t>akademik takvime göre yürütülür.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Bir eğitim-öğretim yılı yarıyıl esasına göre yapılır. Eğitim-öğretim süresi bir yılda güz ve bahar olmak üzere en az on dört haftalık iki yarıyıldan oluşur. Senato gerekli gördüğü hallerde yarıyıl sürelerini değiştirebilir.</w:t>
                  </w:r>
                </w:p>
                <w:p w:rsidR="007C02E9" w:rsidRDefault="007C02E9"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süresi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14</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Bir yıl süreli yabancı dil hazırlık sınıfı hariç, kayıt olduğu programa ilişkin derslerin verildiği dönemden başlamak üzere, her dönem için kayıt yaptırıp yaptırmadığına bakılmaksızın ön lisans programlarını azami dört yıl, lisans programlarını azami yedi yıl içinde başarı ile tamamlayarak mezun olamayanlar, 2547 sayılı Kanunun 46 ncı maddesinde belirtilen koşullara göre ilgili döneme ait öğrenci katkı payı veya öğrenim ücretlerini ödemek koşulu ile öğrenimlerine devam etmek için kayıt yaptırabilir. Bu durumda, ders ve sınavlara katılma ile tez hazırlama hariç, öğrencilere tanınan diğer haklardan yararlandırılmaksızın öğrencilik statüleri devam eder.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Öğrenim süresinin hesaplanmasında kayıt dondurma süreleri dikkate alınmaz; ancak Üniversiteden uzaklaştırma cezası alan öğrencilerin bu süreleri öğretim süresinden ve devamsızlıktan sayılır.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Eğitim-öğretim programları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İlgili birimlerde; teorik ve uygulamalı zorunlu dersler, seçmeli dersler, seminer, staj, uygulama, klinik, atölye ve laboratuvar çalışmaları ve inceleme, gezi, ödev, bireysel çalışma, sınava hazırlanma, alan ve kütüphane çalışmaları, mezuniyet-bitirme tezi, proje ve benzeri diğer etkinlikler yer alabilir.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Eğitim programlarında yer alacak zorunlu teorik ve uygulamalı derslerin yarıyıllara dağılımı, yapılacak değişiklikler, bölüm/anabilim dalının önerisiyle ilgili kurullarca düzenlenerek Senatonun onayına sunulur. Seçmeli dersler bölüm/anabilim dalının önerisi, ilgili kurulların kararı ve Senatonun onayıyla açılır veya kaldırılır. Eğitim programlarında görev alacak öğretim elemanları ile ders ve uygulama çizelgeleri her yarıyılın başında ilgili kurullarca düzenlenerek ilan edilir.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Atatürk İlkeleri ve İnkılap Tarihi, Türk Dili ve yabancı dil dersleri, bütün öğrenciler için verilen zorunlu ortak derslerdir. Ayrıca öğrenciler isteğe bağlı olarak beden eğitimi ve güzel sanat dallarındaki derslerden birini seçmeli ders olarak alabilirler. Bütün bu dersler en az iki yarıyıl olarak programlanır ve uygulanır.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Derslerin kredi değerleri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16</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Haftada bir saat teorik ders, iki saat teorik ders uygulaması, laboratuvar, atölye ve klinik çalışması gibi uygulama çalışmaları ve üç saatlik inceleme, gezi, ödev, sınava hazırlanma, bireysel çalışma, mezuniyet tezi, proje çalışmaları gibi diğer etkinlikler bir kredidir. Alınan derslerin Avrupa Kredi Transfer Sistemine (ECTS) karşılık gelen kredi değerleri bu Yönetmelikteki esaslar çerçevesinde Senato tarafından belirlenir.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Ön koşullu dersler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Ön koşullu dersler ve koşulları, bu dersleri veren bölüm tarafından gerekçeleri belirtilerek ilgili kurula önerilir ve bu kurulların onayından sonra kesinleşir. Ön koşul niteliğindeki dersler başarılmadıkça, ön koşula bağlı olan dersler alınmaz.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Derslere devam</w:t>
                  </w:r>
                </w:p>
                <w:p w:rsid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 derslere, uygulamalara, öğretim elemanlarınca uygun görülen çalışmalara ve sınavlara katılmak zorundadır. Öğrencilerin devam durumları ilgili öğretim elemanı tarafından izlenir.</w:t>
                  </w:r>
                </w:p>
                <w:p w:rsidR="00074C69" w:rsidRPr="007D4668" w:rsidRDefault="001C32D7"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(2)</w:t>
                  </w:r>
                  <w:r>
                    <w:rPr>
                      <w:rFonts w:ascii="Times New Roman" w:eastAsia="Times New Roman" w:hAnsi="Times New Roman" w:cs="Times New Roman"/>
                      <w:b/>
                      <w:sz w:val="18"/>
                      <w:szCs w:val="18"/>
                      <w:lang w:eastAsia="en-US"/>
                    </w:rPr>
                    <w:t>(Değişik:RG-13/07/2014-29059)</w:t>
                  </w:r>
                  <w:r>
                    <w:rPr>
                      <w:rFonts w:ascii="Times New Roman" w:eastAsia="Times New Roman" w:hAnsi="Times New Roman" w:cs="Times New Roman"/>
                      <w:sz w:val="18"/>
                      <w:szCs w:val="18"/>
                      <w:lang w:eastAsia="en-US"/>
                    </w:rPr>
                    <w:t xml:space="preserve"> </w:t>
                  </w:r>
                  <w:r w:rsidR="00074C69">
                    <w:rPr>
                      <w:rFonts w:ascii="Times New Roman" w:eastAsia="Times New Roman" w:hAnsi="Times New Roman" w:cs="Times New Roman"/>
                      <w:sz w:val="18"/>
                      <w:szCs w:val="18"/>
                      <w:lang w:eastAsia="en-US"/>
                    </w:rPr>
                    <w:t>Öğrenciler 60 ile 69 not aralığında geçmiş olduğu dersler bu Yönetmeliğin 7nci maddesinin ikinci fıkrasına aykırı olmamak koşuluyla genel akademik ortalamayı yükseltmek için tekrar alabilirler. Bu durumda dersin tekrar edildiği yarıyılda alınan not geçerlidir.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DÖRDÜNCÜ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Öğrenci Yükümlülükleri ve Sınavlar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 çeşitleri ve düzenlenmesi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19</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Sınavlar; ara sınav, mazeret sınavı, yarıyıl sonu sınavı, bütünleme sınavı, tek ders sınavı ve muafiyet sınavından oluşur. Bu sınavlar yazılı, sözlü veya hem yazılı hem sözlü ve/veya uygulamalı olarak yapılabilir. Güz ve bahar dönem sonu (final) sınavları, ait oldukları yarıyıl sonlarında yapılır. Dönem sonu sınavlarının yapılacağı yer, dekanlık/yüksekokul müdürlüğünce belirlenir ve ilk sınavdan en az on beş gün önce ilan edilir. Öğrenciler, ilan edilen gün, saat ve yerde sınava girmek, kimlik belgeleri ile istenecek diğer belgeleri yanlarında bulundurmak zorundadırlar. Ara sınava mazereti nedeniyle katılmayan öğrenciler hariç, diğer öğrenciler sınavlara katılmazsa başarısız sayılır. Gerekli durumlarda ilgili yönetim kurulu kararı ile ulusal ve dini bayramlar dışında cumartesi ve pazar günleri de sınav yapılabilir.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Sınavlarda kopya çekenler, kopya çekme girişiminde bulunanlar veya kopya çekilmesine yardım edenler ile sınav kağıtlarının incelenmesi sırasında kopya çektiği ya da çekilmesine yardım ettiği belirlenen öğrenciler, o sınavlardan sıfır almış sayılır ve haklarında Yükseköğretim Kurumları Öğrenci Disiplin Yönetmeliği hükümlerine göre işlem yapılır. Sınav not çizelgeleri ve sınav kağıtları sınavın yapıldığı tarihten itibaren en geç yedi gün içinde ilgili birimin öğrenci işleri bürosuna teslim edilir. Sınav not çizelgeleri ve sınav kağıtları, ilgili birim tarafından mezuniyetten sonra en az iki yıl saklanır.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 çeşitleri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20</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Üniversitede uygulanan sınavlar; ara sınav, mazeret sınavı, yarıyıl sonu sınavı, bütünleme sınavı, tek ders sınavı ve muafiyet sınavından oluşur.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Ara sınav</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lastRenderedPageBreak/>
                    <w:t>MADDE 21</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Her ders için her yarıyıl en az bir ara sınav yapılmak koşuluyla, ara sınavların sayı, kapsam, biçim ve değerlendirme esasları fakülte/yüksekokul kurulu kararı ile belirlenir. Aynı yarıyıla ilişkin derslerden en çok ikisinin ara sınavı aynı günde yapılabilir.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Mazeret sınavı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Ara sınava giremeyen öğrencilerden haklı ve geçerli mazeretleri, ilgili yönetim kurulunca kabul edilenler; ara sınav haklarını aynı yarıyıl içinde dekanlık/yüksekokul müdürlüğünce belirlenen gün, yer ve saatte kullanırlar. Mazeret sınavları için ikinci bir mazeret sınavı yapılmaz. Yarıyıl sonu sınavları için mazeret sınavı açılmaz. Rektörlükçe Üniversiteyi temsil etmek üzere görevlendirilen öğrenciler, mazeret sınavına alınır.</w:t>
                  </w:r>
                </w:p>
                <w:p w:rsid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Sağlık mazereti nedeniyle ara sınava veya ara sınavlara giremeyen öğrencilerin giremedikleri ara sınav veya sınavlara girebilmeleri için; bulundukları yerdeki sağlık kuruluşundan sağlık raporu almış olmaları gerekir. Öğrenci, rapor süresince devamsız sayılır.</w:t>
                  </w:r>
                </w:p>
                <w:p w:rsidR="00883C98" w:rsidRPr="007D4668" w:rsidRDefault="00883C9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(3)</w:t>
                  </w:r>
                  <w:r w:rsidR="001C32D7">
                    <w:rPr>
                      <w:rFonts w:ascii="Times New Roman" w:eastAsia="Times New Roman" w:hAnsi="Times New Roman" w:cs="Times New Roman"/>
                      <w:b/>
                      <w:sz w:val="18"/>
                      <w:szCs w:val="18"/>
                      <w:lang w:eastAsia="en-US"/>
                    </w:rPr>
                    <w:t>(Değişik:RG-</w:t>
                  </w:r>
                  <w:r w:rsidR="00DB1F7D">
                    <w:rPr>
                      <w:rFonts w:ascii="Times New Roman" w:eastAsia="Times New Roman" w:hAnsi="Times New Roman" w:cs="Times New Roman"/>
                      <w:b/>
                      <w:sz w:val="18"/>
                      <w:szCs w:val="18"/>
                      <w:lang w:eastAsia="en-US"/>
                    </w:rPr>
                    <w:t>07</w:t>
                  </w:r>
                  <w:r w:rsidR="001C32D7">
                    <w:rPr>
                      <w:rFonts w:ascii="Times New Roman" w:eastAsia="Times New Roman" w:hAnsi="Times New Roman" w:cs="Times New Roman"/>
                      <w:b/>
                      <w:sz w:val="18"/>
                      <w:szCs w:val="18"/>
                      <w:lang w:eastAsia="en-US"/>
                    </w:rPr>
                    <w:t>/0</w:t>
                  </w:r>
                  <w:r w:rsidR="00DB1F7D">
                    <w:rPr>
                      <w:rFonts w:ascii="Times New Roman" w:eastAsia="Times New Roman" w:hAnsi="Times New Roman" w:cs="Times New Roman"/>
                      <w:b/>
                      <w:sz w:val="18"/>
                      <w:szCs w:val="18"/>
                      <w:lang w:eastAsia="en-US"/>
                    </w:rPr>
                    <w:t>1</w:t>
                  </w:r>
                  <w:r w:rsidR="001C32D7">
                    <w:rPr>
                      <w:rFonts w:ascii="Times New Roman" w:eastAsia="Times New Roman" w:hAnsi="Times New Roman" w:cs="Times New Roman"/>
                      <w:b/>
                      <w:sz w:val="18"/>
                      <w:szCs w:val="18"/>
                      <w:lang w:eastAsia="en-US"/>
                    </w:rPr>
                    <w:t>/201</w:t>
                  </w:r>
                  <w:r w:rsidR="00DB1F7D">
                    <w:rPr>
                      <w:rFonts w:ascii="Times New Roman" w:eastAsia="Times New Roman" w:hAnsi="Times New Roman" w:cs="Times New Roman"/>
                      <w:b/>
                      <w:sz w:val="18"/>
                      <w:szCs w:val="18"/>
                      <w:lang w:eastAsia="en-US"/>
                    </w:rPr>
                    <w:t>5</w:t>
                  </w:r>
                  <w:r w:rsidR="001C32D7">
                    <w:rPr>
                      <w:rFonts w:ascii="Times New Roman" w:eastAsia="Times New Roman" w:hAnsi="Times New Roman" w:cs="Times New Roman"/>
                      <w:b/>
                      <w:sz w:val="18"/>
                      <w:szCs w:val="18"/>
                      <w:lang w:eastAsia="en-US"/>
                    </w:rPr>
                    <w:t>-29</w:t>
                  </w:r>
                  <w:r w:rsidR="00DB1F7D">
                    <w:rPr>
                      <w:rFonts w:ascii="Times New Roman" w:eastAsia="Times New Roman" w:hAnsi="Times New Roman" w:cs="Times New Roman"/>
                      <w:b/>
                      <w:sz w:val="18"/>
                      <w:szCs w:val="18"/>
                      <w:lang w:eastAsia="en-US"/>
                    </w:rPr>
                    <w:t>229</w:t>
                  </w:r>
                  <w:r w:rsidR="001C32D7">
                    <w:rPr>
                      <w:rFonts w:ascii="Times New Roman" w:eastAsia="Times New Roman" w:hAnsi="Times New Roman" w:cs="Times New Roman"/>
                      <w:b/>
                      <w:sz w:val="18"/>
                      <w:szCs w:val="18"/>
                      <w:lang w:eastAsia="en-US"/>
                    </w:rPr>
                    <w:t>)</w:t>
                  </w:r>
                  <w:r w:rsidR="001C32D7">
                    <w:rPr>
                      <w:rFonts w:ascii="Times New Roman" w:eastAsia="Times New Roman" w:hAnsi="Times New Roman" w:cs="Times New Roman"/>
                      <w:sz w:val="18"/>
                      <w:szCs w:val="18"/>
                      <w:lang w:eastAsia="en-US"/>
                    </w:rPr>
                    <w:t xml:space="preserve"> </w:t>
                  </w:r>
                  <w:r>
                    <w:rPr>
                      <w:rFonts w:ascii="Times New Roman" w:eastAsia="Times New Roman" w:hAnsi="Times New Roman" w:cs="Times New Roman"/>
                      <w:sz w:val="18"/>
                      <w:szCs w:val="18"/>
                      <w:lang w:eastAsia="en-US"/>
                    </w:rPr>
                    <w:t xml:space="preserve"> Rapor aldığı halde ara sınava giren öğrencilerin girmiş olduğu sınav, Yönetim Kurulu Kararıyla iptal edilir</w:t>
                  </w:r>
                  <w:r w:rsidR="00DB1F7D">
                    <w:rPr>
                      <w:rFonts w:ascii="Times New Roman" w:eastAsia="Times New Roman" w:hAnsi="Times New Roman" w:cs="Times New Roman"/>
                      <w:sz w:val="18"/>
                      <w:szCs w:val="18"/>
                      <w:lang w:eastAsia="en-US"/>
                    </w:rPr>
                    <w:t>ek alınan karar Öğrenci İşleri Daire Başkanlığına bildirilir</w:t>
                  </w:r>
                  <w:r>
                    <w:rPr>
                      <w:rFonts w:ascii="Times New Roman" w:eastAsia="Times New Roman" w:hAnsi="Times New Roman" w:cs="Times New Roman"/>
                      <w:sz w:val="18"/>
                      <w:szCs w:val="18"/>
                      <w:lang w:eastAsia="en-US"/>
                    </w:rPr>
                    <w:t xml:space="preserve"> ve</w:t>
                  </w:r>
                  <w:r w:rsidR="00DB1F7D">
                    <w:rPr>
                      <w:rFonts w:ascii="Times New Roman" w:eastAsia="Times New Roman" w:hAnsi="Times New Roman" w:cs="Times New Roman"/>
                      <w:sz w:val="18"/>
                      <w:szCs w:val="18"/>
                      <w:lang w:eastAsia="en-US"/>
                    </w:rPr>
                    <w:t xml:space="preserve"> Daire Başkanlığı tarafından otomasyona girmedi olarak işlenir.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Yarıyıl sonu</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Yarıyıl sonu sınavı, dersin devam koşulunun yerine getirilmiş olması kaydıyla yarıyıl sonunda ilgili kurullar tarafından ilan edilen yer ve zamanlarda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Bütünleme sınavı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24</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Bütünleme sınavına, dönem sonu sınavına girme hakkına sahip olduğu halde sınava katılamayan veya sınava girdiği halde sınavda başarılı olamayan öğrenciler girebilir.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Tek ders sınavı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Mezuniyet durumunda olup, sadece bir dersten başarısız olan öğrencilere, güz ve bahar yarıyılı sonunda tek ders sınavı açılır. Yapılacak sınavda alınan not ara sınavlar dikkate alınmadan değerlendirilir. Öğrencinin gireceği tek ders sınavının ait olduğu yarıyıl için belirlenen öğrenci katkı payı veya öğrenim ücretini yatırması zorunludur.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Muafiyet sınavı</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MADDE 2</w:t>
                  </w:r>
                  <w:r w:rsidR="00CF7AFA">
                    <w:rPr>
                      <w:rFonts w:ascii="Times New Roman" w:eastAsia="Times New Roman" w:hAnsi="Times New Roman" w:cs="Times New Roman"/>
                      <w:b/>
                      <w:sz w:val="18"/>
                      <w:szCs w:val="18"/>
                      <w:lang w:eastAsia="en-US"/>
                    </w:rPr>
                    <w:t>6</w:t>
                  </w:r>
                  <w:r w:rsidRPr="007D4668">
                    <w:rPr>
                      <w:rFonts w:ascii="Times New Roman" w:eastAsia="Times New Roman" w:hAnsi="Times New Roman" w:cs="Times New Roman"/>
                      <w:b/>
                      <w:sz w:val="18"/>
                      <w:szCs w:val="18"/>
                      <w:lang w:eastAsia="en-US"/>
                    </w:rPr>
                    <w:t>–</w:t>
                  </w:r>
                  <w:r w:rsidRPr="007D4668">
                    <w:rPr>
                      <w:rFonts w:ascii="Times New Roman" w:eastAsia="Times New Roman" w:hAnsi="Times New Roman" w:cs="Times New Roman"/>
                      <w:sz w:val="18"/>
                      <w:szCs w:val="18"/>
                      <w:lang w:eastAsia="en-US"/>
                    </w:rPr>
                    <w:t>(1) Zorunlu yabancı dil hazırlık sınıfı bulunmayan birimlere yeni kaydolan öğrenciler için öğretim yılı başında ortak zorunlu yabancı dil dersinden muafiyet sınavı açılabilir. Bu sınav ile ilgili esaslar, Senato tarafından belirlenir.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Sınavlara giriş şartları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Muafiyet sınavı dışındaki sınavlara girebilmek için; kayıt yenilemiş olmak, teorik derslerin en az % 70'ine devam etmek, uygulamalı derslerin uygulamalarının en az % 80'ine katılmak ve uygulamalarda başarılı olmak gerekir. Ancak, teorik derslerde bir defa devam almış olan öğrenci, bir daha devam etmek zorunda değildir. Uygulamalarda başarısızlık halinde ders tekrar alınır.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Bir ders ile uygulamasının ayrı sınavlarla değerlendirilmesine ve gerektiğinde bunların birbiriyle bağlantılı olduğuna, ilgili kurullar karar verir.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Ders başarı notu</w:t>
                  </w:r>
                </w:p>
                <w:p w:rsidR="00621AF0" w:rsidRDefault="00CF7AFA" w:rsidP="00621AF0">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w:t>
                  </w:r>
                  <w:r w:rsidR="001C32D7">
                    <w:rPr>
                      <w:rFonts w:ascii="Times New Roman" w:eastAsia="Times New Roman" w:hAnsi="Times New Roman" w:cs="Times New Roman"/>
                      <w:b/>
                      <w:sz w:val="18"/>
                      <w:szCs w:val="18"/>
                      <w:lang w:eastAsia="en-US"/>
                    </w:rPr>
                    <w:t xml:space="preserve"> (Değişik:RG-15/11/2012-28468)</w:t>
                  </w:r>
                  <w:r w:rsidR="001C32D7">
                    <w:rPr>
                      <w:rFonts w:ascii="Times New Roman" w:eastAsia="Times New Roman" w:hAnsi="Times New Roman" w:cs="Times New Roman"/>
                      <w:sz w:val="18"/>
                      <w:szCs w:val="18"/>
                      <w:lang w:eastAsia="en-US"/>
                    </w:rPr>
                    <w:t xml:space="preserve"> </w:t>
                  </w:r>
                  <w:r w:rsidR="007D4668" w:rsidRPr="007D4668">
                    <w:rPr>
                      <w:rFonts w:ascii="Times New Roman" w:eastAsia="Times New Roman" w:hAnsi="Times New Roman" w:cs="Times New Roman"/>
                      <w:sz w:val="18"/>
                      <w:szCs w:val="18"/>
                      <w:lang w:eastAsia="en-US"/>
                    </w:rPr>
                    <w:t xml:space="preserve"> Ders başarı notu; öğrencinin ara sınavı ile yarıyıl sonu sınavlarında aldıkları puanların birlikte değerlendirilmesiyle elde edilir ve bu sonuç öğrencinin akademik başarı durumunu gösterir. Öğrencinin bir dersi başarmış sayılması için; yarıyıl sonu veya bütünleme sınavlarında en a</w:t>
                  </w:r>
                  <w:r w:rsidR="007D4668">
                    <w:rPr>
                      <w:rFonts w:ascii="Times New Roman" w:eastAsia="Times New Roman" w:hAnsi="Times New Roman" w:cs="Times New Roman"/>
                      <w:sz w:val="18"/>
                      <w:szCs w:val="18"/>
                      <w:lang w:eastAsia="en-US"/>
                    </w:rPr>
                    <w:t>z 60 puan almak koşuluyla, ara  sınavların</w:t>
                  </w:r>
                  <w:r w:rsidR="00621AF0">
                    <w:rPr>
                      <w:rFonts w:ascii="Times New Roman" w:eastAsia="Times New Roman" w:hAnsi="Times New Roman" w:cs="Times New Roman"/>
                      <w:sz w:val="18"/>
                      <w:szCs w:val="18"/>
                      <w:lang w:eastAsia="en-US"/>
                    </w:rPr>
                    <w:t>ın</w:t>
                  </w:r>
                  <w:r w:rsidR="007D4668">
                    <w:rPr>
                      <w:rFonts w:ascii="Times New Roman" w:eastAsia="Times New Roman" w:hAnsi="Times New Roman" w:cs="Times New Roman"/>
                      <w:sz w:val="18"/>
                      <w:szCs w:val="18"/>
                      <w:lang w:eastAsia="en-US"/>
                    </w:rPr>
                    <w:t xml:space="preserve"> ortalamasının %40'ı</w:t>
                  </w:r>
                  <w:r w:rsidR="007D4668" w:rsidRPr="007D4668">
                    <w:rPr>
                      <w:rFonts w:ascii="Times New Roman" w:eastAsia="Times New Roman" w:hAnsi="Times New Roman" w:cs="Times New Roman"/>
                      <w:sz w:val="18"/>
                      <w:szCs w:val="18"/>
                      <w:lang w:eastAsia="en-US"/>
                    </w:rPr>
                    <w:t xml:space="preserve"> ile yarıyıl sonu veya</w:t>
                  </w:r>
                  <w:r w:rsidR="007D4668">
                    <w:rPr>
                      <w:rFonts w:ascii="Times New Roman" w:eastAsia="Times New Roman" w:hAnsi="Times New Roman" w:cs="Times New Roman"/>
                      <w:sz w:val="18"/>
                      <w:szCs w:val="18"/>
                      <w:lang w:eastAsia="en-US"/>
                    </w:rPr>
                    <w:t xml:space="preserve"> bütünleme sınav sonuçlarının %6</w:t>
                  </w:r>
                  <w:r w:rsidR="00621AF0">
                    <w:rPr>
                      <w:rFonts w:ascii="Times New Roman" w:eastAsia="Times New Roman" w:hAnsi="Times New Roman" w:cs="Times New Roman"/>
                      <w:sz w:val="18"/>
                      <w:szCs w:val="18"/>
                      <w:lang w:eastAsia="en-US"/>
                    </w:rPr>
                    <w:t>0'ının</w:t>
                  </w:r>
                  <w:r w:rsidR="007D4668" w:rsidRPr="007D4668">
                    <w:rPr>
                      <w:rFonts w:ascii="Times New Roman" w:eastAsia="Times New Roman" w:hAnsi="Times New Roman" w:cs="Times New Roman"/>
                      <w:sz w:val="18"/>
                      <w:szCs w:val="18"/>
                      <w:lang w:eastAsia="en-US"/>
                    </w:rPr>
                    <w:t xml:space="preserve"> toplamının en az 60 </w:t>
                  </w:r>
                  <w:r w:rsidR="007D4668">
                    <w:rPr>
                      <w:rFonts w:ascii="Times New Roman" w:eastAsia="Times New Roman" w:hAnsi="Times New Roman" w:cs="Times New Roman"/>
                      <w:sz w:val="18"/>
                      <w:szCs w:val="18"/>
                      <w:lang w:eastAsia="en-US"/>
                    </w:rPr>
                    <w:t xml:space="preserve">puan </w:t>
                  </w:r>
                  <w:r w:rsidR="007D4668" w:rsidRPr="007D4668">
                    <w:rPr>
                      <w:rFonts w:ascii="Times New Roman" w:eastAsia="Times New Roman" w:hAnsi="Times New Roman" w:cs="Times New Roman"/>
                      <w:sz w:val="18"/>
                      <w:szCs w:val="18"/>
                      <w:lang w:eastAsia="en-US"/>
                    </w:rPr>
                    <w:t>olması gerekir. Mezuniyet başarı derece</w:t>
                  </w:r>
                  <w:r w:rsidR="00D51A4C">
                    <w:rPr>
                      <w:rFonts w:ascii="Times New Roman" w:eastAsia="Times New Roman" w:hAnsi="Times New Roman" w:cs="Times New Roman"/>
                      <w:sz w:val="18"/>
                      <w:szCs w:val="18"/>
                      <w:lang w:eastAsia="en-US"/>
                    </w:rPr>
                    <w:t>si aşağıdaki şekilde belirlenir:</w:t>
                  </w:r>
                </w:p>
                <w:p w:rsidR="007D4668" w:rsidRPr="007D4668" w:rsidRDefault="007D4668" w:rsidP="00621AF0">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a)</w:t>
                  </w:r>
                  <w:r w:rsidR="00621AF0" w:rsidRPr="00621AF0">
                    <w:rPr>
                      <w:rFonts w:ascii="Times New Roman" w:eastAsia="Times New Roman" w:hAnsi="Times New Roman" w:cs="Times New Roman"/>
                      <w:sz w:val="18"/>
                      <w:szCs w:val="18"/>
                      <w:lang w:eastAsia="en-US"/>
                    </w:rPr>
                    <w:t xml:space="preserve"> </w:t>
                  </w:r>
                  <w:r w:rsidRP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u w:val="single"/>
                      <w:lang w:eastAsia="en-US"/>
                    </w:rPr>
                    <w:t xml:space="preserve">Sözel derece </w:t>
                  </w:r>
                  <w:r w:rsidRPr="007D4668">
                    <w:rPr>
                      <w:rFonts w:ascii="Times New Roman" w:eastAsia="Times New Roman" w:hAnsi="Times New Roman" w:cs="Times New Roman"/>
                      <w:sz w:val="18"/>
                      <w:szCs w:val="18"/>
                      <w:lang w:eastAsia="en-US"/>
                    </w:rPr>
                    <w:tab/>
                  </w:r>
                  <w:r w:rsidRPr="007D4668">
                    <w:rPr>
                      <w:rFonts w:ascii="Times New Roman" w:eastAsia="Times New Roman" w:hAnsi="Times New Roman" w:cs="Times New Roman"/>
                      <w:sz w:val="18"/>
                      <w:szCs w:val="18"/>
                      <w:u w:val="single"/>
                      <w:lang w:eastAsia="en-US"/>
                    </w:rPr>
                    <w:t>Başarı puanları</w:t>
                  </w:r>
                  <w:r w:rsidRPr="007D4668">
                    <w:rPr>
                      <w:rFonts w:ascii="Times New Roman" w:eastAsia="Times New Roman" w:hAnsi="Times New Roman" w:cs="Times New Roman"/>
                      <w:sz w:val="18"/>
                      <w:szCs w:val="18"/>
                      <w:lang w:eastAsia="en-US"/>
                    </w:rPr>
                    <w:tab/>
                  </w:r>
                  <w:r w:rsidRPr="007D4668">
                    <w:rPr>
                      <w:rFonts w:ascii="Times New Roman" w:eastAsia="Times New Roman" w:hAnsi="Times New Roman" w:cs="Times New Roman"/>
                      <w:sz w:val="18"/>
                      <w:szCs w:val="18"/>
                      <w:u w:val="single"/>
                      <w:lang w:eastAsia="en-US"/>
                    </w:rPr>
                    <w:t>Başarı notu (harfle)</w:t>
                  </w:r>
                </w:p>
                <w:p w:rsidR="007D4668" w:rsidRPr="007D4668" w:rsidRDefault="007D4668" w:rsidP="00CF7AFA">
                  <w:pPr>
                    <w:tabs>
                      <w:tab w:val="left" w:pos="566"/>
                      <w:tab w:val="center" w:pos="2811"/>
                      <w:tab w:val="left" w:pos="418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Pekiyi </w:t>
                  </w:r>
                  <w:r w:rsidRPr="007D4668">
                    <w:rPr>
                      <w:rFonts w:ascii="Times New Roman" w:eastAsia="Times New Roman" w:hAnsi="Times New Roman" w:cs="Times New Roman"/>
                      <w:sz w:val="18"/>
                      <w:szCs w:val="18"/>
                      <w:lang w:eastAsia="en-US"/>
                    </w:rPr>
                    <w:tab/>
                    <w:t xml:space="preserve"> 90–100 </w:t>
                  </w:r>
                  <w:r w:rsidRPr="007D4668">
                    <w:rPr>
                      <w:rFonts w:ascii="Times New Roman" w:eastAsia="Times New Roman" w:hAnsi="Times New Roman" w:cs="Times New Roman"/>
                      <w:sz w:val="18"/>
                      <w:szCs w:val="18"/>
                      <w:lang w:eastAsia="en-US"/>
                    </w:rPr>
                    <w:tab/>
                  </w:r>
                  <w:r w:rsidR="00CF7AFA" w:rsidRPr="007D4668">
                    <w:rPr>
                      <w:rFonts w:ascii="Times New Roman" w:eastAsia="Times New Roman" w:hAnsi="Times New Roman" w:cs="Times New Roman"/>
                      <w:sz w:val="18"/>
                      <w:szCs w:val="18"/>
                      <w:lang w:eastAsia="en-US"/>
                    </w:rPr>
                    <w:t>A</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left" w:pos="424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Çok iyi </w:t>
                  </w:r>
                  <w:r w:rsidRPr="007D4668">
                    <w:rPr>
                      <w:rFonts w:ascii="Times New Roman" w:eastAsia="Times New Roman" w:hAnsi="Times New Roman" w:cs="Times New Roman"/>
                      <w:sz w:val="18"/>
                      <w:szCs w:val="18"/>
                      <w:lang w:eastAsia="en-US"/>
                    </w:rPr>
                    <w:tab/>
                    <w:t xml:space="preserve">80–89 </w:t>
                  </w:r>
                  <w:r w:rsidRPr="007D4668">
                    <w:rPr>
                      <w:rFonts w:ascii="Times New Roman" w:eastAsia="Times New Roman" w:hAnsi="Times New Roman" w:cs="Times New Roman"/>
                      <w:sz w:val="18"/>
                      <w:szCs w:val="18"/>
                      <w:lang w:eastAsia="en-US"/>
                    </w:rPr>
                    <w:tab/>
                  </w:r>
                  <w:r w:rsidR="00CF7AFA">
                    <w:rPr>
                      <w:rFonts w:ascii="Times New Roman" w:eastAsia="Times New Roman" w:hAnsi="Times New Roman" w:cs="Times New Roman"/>
                      <w:sz w:val="18"/>
                      <w:szCs w:val="18"/>
                      <w:lang w:eastAsia="en-US"/>
                    </w:rPr>
                    <w:t>B</w:t>
                  </w:r>
                  <w:r w:rsidR="00CF7AFA">
                    <w:rPr>
                      <w:rFonts w:ascii="Times New Roman" w:eastAsia="Times New Roman" w:hAnsi="Times New Roman" w:cs="Times New Roman"/>
                      <w:sz w:val="18"/>
                      <w:szCs w:val="18"/>
                      <w:lang w:eastAsia="en-US"/>
                    </w:rPr>
                    <w:tab/>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left" w:pos="4230"/>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Pr>
                      <w:rFonts w:ascii="Times New Roman" w:eastAsia="Times New Roman" w:hAnsi="Times New Roman" w:cs="Times New Roman"/>
                      <w:sz w:val="18"/>
                      <w:szCs w:val="18"/>
                      <w:lang w:eastAsia="en-US"/>
                    </w:rPr>
                    <w:t xml:space="preserve">  </w:t>
                  </w:r>
                  <w:r w:rsidR="00CF7AFA">
                    <w:rPr>
                      <w:rFonts w:ascii="Times New Roman" w:eastAsia="Times New Roman" w:hAnsi="Times New Roman" w:cs="Times New Roman"/>
                      <w:sz w:val="18"/>
                      <w:szCs w:val="18"/>
                      <w:lang w:eastAsia="en-US"/>
                    </w:rPr>
                    <w:t xml:space="preserve">İyi </w:t>
                  </w:r>
                  <w:r w:rsidR="00CF7AFA">
                    <w:rPr>
                      <w:rFonts w:ascii="Times New Roman" w:eastAsia="Times New Roman" w:hAnsi="Times New Roman" w:cs="Times New Roman"/>
                      <w:sz w:val="18"/>
                      <w:szCs w:val="18"/>
                      <w:lang w:eastAsia="en-US"/>
                    </w:rPr>
                    <w:tab/>
                    <w:t xml:space="preserve">70–79 </w:t>
                  </w:r>
                  <w:r w:rsidR="00CF7AFA">
                    <w:rPr>
                      <w:rFonts w:ascii="Times New Roman" w:eastAsia="Times New Roman" w:hAnsi="Times New Roman" w:cs="Times New Roman"/>
                      <w:sz w:val="18"/>
                      <w:szCs w:val="18"/>
                      <w:lang w:eastAsia="en-US"/>
                    </w:rPr>
                    <w:tab/>
                    <w:t>C</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21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Orta </w:t>
                  </w:r>
                  <w:r w:rsidRPr="007D4668">
                    <w:rPr>
                      <w:rFonts w:ascii="Times New Roman" w:eastAsia="Times New Roman" w:hAnsi="Times New Roman" w:cs="Times New Roman"/>
                      <w:sz w:val="18"/>
                      <w:szCs w:val="18"/>
                      <w:lang w:eastAsia="en-US"/>
                    </w:rPr>
                    <w:tab/>
                    <w:t xml:space="preserve">65–69 </w:t>
                  </w:r>
                  <w:r w:rsidRPr="007D4668">
                    <w:rPr>
                      <w:rFonts w:ascii="Times New Roman" w:eastAsia="Times New Roman" w:hAnsi="Times New Roman" w:cs="Times New Roman"/>
                      <w:sz w:val="18"/>
                      <w:szCs w:val="18"/>
                      <w:lang w:eastAsia="en-US"/>
                    </w:rPr>
                    <w:tab/>
                  </w:r>
                  <w:r w:rsidR="00CF7AFA">
                    <w:rPr>
                      <w:rFonts w:ascii="Times New Roman" w:eastAsia="Times New Roman" w:hAnsi="Times New Roman" w:cs="Times New Roman"/>
                      <w:sz w:val="18"/>
                      <w:szCs w:val="18"/>
                      <w:lang w:eastAsia="en-US"/>
                    </w:rPr>
                    <w:t>D</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00CF7AFA">
                    <w:rPr>
                      <w:rFonts w:ascii="Times New Roman" w:eastAsia="Times New Roman" w:hAnsi="Times New Roman" w:cs="Times New Roman"/>
                      <w:sz w:val="18"/>
                      <w:szCs w:val="18"/>
                      <w:lang w:eastAsia="en-US"/>
                    </w:rPr>
                    <w:t xml:space="preserve">Geçer </w:t>
                  </w:r>
                  <w:r w:rsidR="00CF7AFA">
                    <w:rPr>
                      <w:rFonts w:ascii="Times New Roman" w:eastAsia="Times New Roman" w:hAnsi="Times New Roman" w:cs="Times New Roman"/>
                      <w:sz w:val="18"/>
                      <w:szCs w:val="18"/>
                      <w:lang w:eastAsia="en-US"/>
                    </w:rPr>
                    <w:tab/>
                    <w:t xml:space="preserve"> 60–64 </w:t>
                  </w:r>
                  <w:r w:rsidR="00CF7AFA">
                    <w:rPr>
                      <w:rFonts w:ascii="Times New Roman" w:eastAsia="Times New Roman" w:hAnsi="Times New Roman" w:cs="Times New Roman"/>
                      <w:sz w:val="18"/>
                      <w:szCs w:val="18"/>
                      <w:lang w:eastAsia="en-US"/>
                    </w:rPr>
                    <w:tab/>
                    <w:t xml:space="preserve"> E</w:t>
                  </w:r>
                  <w:r w:rsidR="00CF7AFA">
                    <w:rPr>
                      <w:rFonts w:ascii="Times New Roman" w:eastAsia="Times New Roman" w:hAnsi="Times New Roman" w:cs="Times New Roman"/>
                      <w:sz w:val="18"/>
                      <w:szCs w:val="18"/>
                      <w:lang w:eastAsia="en-US"/>
                    </w:rPr>
                    <w:tab/>
                  </w:r>
                </w:p>
                <w:p w:rsidR="007D4668" w:rsidRPr="007D4668" w:rsidRDefault="007D4668" w:rsidP="00CF7AFA">
                  <w:pPr>
                    <w:tabs>
                      <w:tab w:val="left" w:pos="566"/>
                      <w:tab w:val="center" w:pos="2811"/>
                      <w:tab w:val="left" w:pos="4185"/>
                      <w:tab w:val="center" w:pos="4791"/>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sz w:val="18"/>
                      <w:szCs w:val="18"/>
                      <w:lang w:eastAsia="en-US"/>
                    </w:rPr>
                    <w:t xml:space="preserve">    </w:t>
                  </w:r>
                  <w:r w:rsidR="00621AF0">
                    <w:rPr>
                      <w:rFonts w:ascii="Times New Roman" w:eastAsia="Times New Roman" w:hAnsi="Times New Roman" w:cs="Times New Roman"/>
                      <w:sz w:val="18"/>
                      <w:szCs w:val="18"/>
                      <w:lang w:eastAsia="en-US"/>
                    </w:rPr>
                    <w:t xml:space="preserve"> </w:t>
                  </w:r>
                  <w:r w:rsidR="00CF7AFA">
                    <w:rPr>
                      <w:rFonts w:ascii="Times New Roman" w:eastAsia="Times New Roman" w:hAnsi="Times New Roman" w:cs="Times New Roman"/>
                      <w:sz w:val="18"/>
                      <w:szCs w:val="18"/>
                      <w:lang w:eastAsia="en-US"/>
                    </w:rPr>
                    <w:t xml:space="preserve">Başarısız </w:t>
                  </w:r>
                  <w:r w:rsidR="00CF7AFA">
                    <w:rPr>
                      <w:rFonts w:ascii="Times New Roman" w:eastAsia="Times New Roman" w:hAnsi="Times New Roman" w:cs="Times New Roman"/>
                      <w:sz w:val="18"/>
                      <w:szCs w:val="18"/>
                      <w:lang w:eastAsia="en-US"/>
                    </w:rPr>
                    <w:tab/>
                    <w:t xml:space="preserve">0–59 </w:t>
                  </w:r>
                  <w:r w:rsidR="00CF7AFA">
                    <w:rPr>
                      <w:rFonts w:ascii="Times New Roman" w:eastAsia="Times New Roman" w:hAnsi="Times New Roman" w:cs="Times New Roman"/>
                      <w:sz w:val="18"/>
                      <w:szCs w:val="18"/>
                      <w:lang w:eastAsia="en-US"/>
                    </w:rPr>
                    <w:tab/>
                    <w:t xml:space="preserve"> F</w:t>
                  </w:r>
                  <w:r w:rsidR="00CF7AFA">
                    <w:rPr>
                      <w:rFonts w:ascii="Times New Roman" w:eastAsia="Times New Roman" w:hAnsi="Times New Roman" w:cs="Times New Roman"/>
                      <w:sz w:val="18"/>
                      <w:szCs w:val="18"/>
                      <w:lang w:eastAsia="en-US"/>
                    </w:rPr>
                    <w:tab/>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Akademik başarı not ortalamaları</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29</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Öğrencilerin akademik başarı not ortalamaları, dönem sonunda Öğrenci İşleri Daire Başkanlığı tarafından hesaplanır. Bu hesaplama sırasında, öğrencinin dönem akademik başarı not ortalaması ve genel akademik başarı not ortalaması olmak üzere iki ortalama elde edilir. Bir yarıyılın akademik başarı not ortalamasını hesaplamak için; öğrencinin bir yarıyılda aldığı derslerden elde ettiği notlar ile o derslerin kredi değerlerinin çarpımından oluşan toplam kredi bulunur, daha sonra bütün derslerden alınan toplam kredi, derslerin kredi değerleri toplamına bölünür. Bu değer akademik başarı not ortalaması olarak adlandırılır. Genel akademik başarı not ortalaması yarıyıl akademik başarı not ortalamasının hesaplanmasındaki yol izlenerek, öğrencinin Üniversiteye girişinden itibaren almış olduğu derslerin tümü dikkate alınarak hesaplanır.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Sınav sonuçlarına itiraz</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30</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w:t>
                  </w:r>
                  <w:r w:rsidR="001C32D7">
                    <w:rPr>
                      <w:rFonts w:ascii="Times New Roman" w:eastAsia="Times New Roman" w:hAnsi="Times New Roman" w:cs="Times New Roman"/>
                      <w:sz w:val="18"/>
                      <w:szCs w:val="18"/>
                      <w:lang w:eastAsia="en-US"/>
                    </w:rPr>
                    <w:t xml:space="preserve"> </w:t>
                  </w:r>
                  <w:r w:rsidR="007D4668" w:rsidRPr="007D4668">
                    <w:rPr>
                      <w:rFonts w:ascii="Times New Roman" w:eastAsia="Times New Roman" w:hAnsi="Times New Roman" w:cs="Times New Roman"/>
                      <w:sz w:val="18"/>
                      <w:szCs w:val="18"/>
                      <w:lang w:eastAsia="en-US"/>
                    </w:rPr>
                    <w:t xml:space="preserve"> Sınav sonuçları öğrenci işleri otomasyonuna işlenip ilan edildikten sonra maddi hata dışında not değiştirilemez.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lastRenderedPageBreak/>
                    <w:t>(2) Öğrenci, sınav sonuçlarına; sonuçların ilanından itibaren beş iş günü içerisinde dekanlığa/ilgili birim müdürlüğüne maddi hata yönünden itiraz edebilir. Bu itiraz üzerine, sınav evrakı, ders sorumlusu tarafından incelenir, maddi hata varsa düzeltilir. İtiraz sonucunun en geç beş iş günü içerisinde sonuçlandırılıp, ilgili birim tarafından yazılı olarak ilgili öğrenciye ve Öğrenci İşleri Daire Başkanlığına bildirilmesi zorunludur.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Dersin sorumlusu olan öğretim üyesi veya öğretim elemanı; sınav notunda maddi hata olduğunu tespit etmesi halinde dilekçe ile ilgili birime müracaat ederek, sınav sonuçlarının ilanından itibaren en geç beş iş günü içerisinde bildirmesi gerekir. İlgili birim not düzeltme ilgili dilekçeleri bir üst yazı ile Öğrenci İşleri Daire Başkanlığına bildirir. Bu tarihten sonra not düzeltmeleri yapılamaz.</w:t>
                  </w:r>
                </w:p>
                <w:p w:rsidR="007C02E9" w:rsidRDefault="007C02E9"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p>
                <w:p w:rsidR="00CF7AFA" w:rsidRDefault="00CF7AFA"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Muafiyet ve intibak</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MADDE 31 –</w:t>
                  </w:r>
                  <w:r w:rsidRPr="007D4668">
                    <w:rPr>
                      <w:rFonts w:ascii="Times New Roman" w:eastAsia="Times New Roman" w:hAnsi="Times New Roman" w:cs="Times New Roman"/>
                      <w:sz w:val="18"/>
                      <w:szCs w:val="18"/>
                      <w:lang w:eastAsia="en-US"/>
                    </w:rPr>
                    <w:t>(1)</w:t>
                  </w:r>
                  <w:r w:rsidR="001C32D7">
                    <w:rPr>
                      <w:rFonts w:ascii="Times New Roman" w:eastAsia="Times New Roman" w:hAnsi="Times New Roman" w:cs="Times New Roman"/>
                      <w:b/>
                      <w:sz w:val="18"/>
                      <w:szCs w:val="18"/>
                      <w:lang w:eastAsia="en-US"/>
                    </w:rPr>
                    <w:t>(Değişik:RG-13/07/2014-29059)</w:t>
                  </w:r>
                  <w:r w:rsidR="001C32D7">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 ÖSYM tarafından yapılan sınava girerek, birinci sınıfa kesin kaydını yaptıran öğrenciler, öğrenime başlayacakları eğitim-öğretim yılının başlamasından itibaren on beş gün içinde başvurmaları halinde, daha önce kayıtlı oldukları diğer yükseköğretim kurumlarından başarmış oldukları derslerden ilgili yönetim kurulu kararı ile muaf kabul edilebilir. Bu tarihten sonraki başvurular dikkate alınmaz. </w:t>
                  </w:r>
                  <w:r w:rsidR="00415BA4">
                    <w:rPr>
                      <w:rFonts w:ascii="Times New Roman" w:eastAsia="Times New Roman" w:hAnsi="Times New Roman" w:cs="Times New Roman"/>
                      <w:sz w:val="18"/>
                      <w:szCs w:val="18"/>
                      <w:lang w:eastAsia="en-US"/>
                    </w:rPr>
                    <w:t>Her 34 kredilik muaf ders için bir üst sınıfa intibak yapılır. Bu durumda intibak ettirilen süre azami öğrenim süresinden düşülür.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w:t>
                  </w:r>
                  <w:r w:rsidR="001C32D7">
                    <w:rPr>
                      <w:rFonts w:ascii="Times New Roman" w:eastAsia="Times New Roman" w:hAnsi="Times New Roman" w:cs="Times New Roman"/>
                      <w:b/>
                      <w:sz w:val="18"/>
                      <w:szCs w:val="18"/>
                      <w:lang w:eastAsia="en-US"/>
                    </w:rPr>
                    <w:t>(Değişik:RG-13/07/2014-29059)</w:t>
                  </w:r>
                  <w:r w:rsidR="001C32D7">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 Diğer yükseköğretim kurumlarından al</w:t>
                  </w:r>
                  <w:r w:rsidR="00415BA4">
                    <w:rPr>
                      <w:rFonts w:ascii="Times New Roman" w:eastAsia="Times New Roman" w:hAnsi="Times New Roman" w:cs="Times New Roman"/>
                      <w:sz w:val="18"/>
                      <w:szCs w:val="18"/>
                      <w:lang w:eastAsia="en-US"/>
                    </w:rPr>
                    <w:t>dığı derslerin notları okumuş olduğu üniversitenin not geçme sistemine göre başarılı ise o dersler muaf edilir</w:t>
                  </w:r>
                  <w:r w:rsidRPr="007D4668">
                    <w:rPr>
                      <w:rFonts w:ascii="Times New Roman" w:eastAsia="Times New Roman" w:hAnsi="Times New Roman" w:cs="Times New Roman"/>
                      <w:sz w:val="18"/>
                      <w:szCs w:val="18"/>
                      <w:lang w:eastAsia="en-US"/>
                    </w:rPr>
                    <w:t>.</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w:t>
                  </w:r>
                  <w:r w:rsidR="001C32D7">
                    <w:rPr>
                      <w:rFonts w:ascii="Times New Roman" w:eastAsia="Times New Roman" w:hAnsi="Times New Roman" w:cs="Times New Roman"/>
                      <w:b/>
                      <w:sz w:val="18"/>
                      <w:szCs w:val="18"/>
                      <w:lang w:eastAsia="en-US"/>
                    </w:rPr>
                    <w:t>(Değişik:RG-13/07/2014-29059)</w:t>
                  </w:r>
                  <w:r w:rsidR="001C32D7">
                    <w:rPr>
                      <w:rFonts w:ascii="Times New Roman" w:eastAsia="Times New Roman" w:hAnsi="Times New Roman" w:cs="Times New Roman"/>
                      <w:sz w:val="18"/>
                      <w:szCs w:val="18"/>
                      <w:lang w:eastAsia="en-US"/>
                    </w:rPr>
                    <w:t xml:space="preserve"> </w:t>
                  </w:r>
                  <w:r w:rsidRPr="007D4668">
                    <w:rPr>
                      <w:rFonts w:ascii="Times New Roman" w:eastAsia="Times New Roman" w:hAnsi="Times New Roman" w:cs="Times New Roman"/>
                      <w:sz w:val="18"/>
                      <w:szCs w:val="18"/>
                      <w:lang w:eastAsia="en-US"/>
                    </w:rPr>
                    <w:t xml:space="preserve"> ÖSYM tarafından yerleştiril</w:t>
                  </w:r>
                  <w:r w:rsidR="00415BA4">
                    <w:rPr>
                      <w:rFonts w:ascii="Times New Roman" w:eastAsia="Times New Roman" w:hAnsi="Times New Roman" w:cs="Times New Roman"/>
                      <w:sz w:val="18"/>
                      <w:szCs w:val="18"/>
                      <w:lang w:eastAsia="en-US"/>
                    </w:rPr>
                    <w:t>en öğrencilerin</w:t>
                  </w:r>
                  <w:r w:rsidRPr="007D4668">
                    <w:rPr>
                      <w:rFonts w:ascii="Times New Roman" w:eastAsia="Times New Roman" w:hAnsi="Times New Roman" w:cs="Times New Roman"/>
                      <w:sz w:val="18"/>
                      <w:szCs w:val="18"/>
                      <w:lang w:eastAsia="en-US"/>
                    </w:rPr>
                    <w:t xml:space="preserve"> muaf edilen derslerin notları akademik ortalamaya katılmaz.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(4) İntibak ettirildiği sınıfta öğrencinin alması gereken haftalık ders yükü kırk saatten fazla olamaz.</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Akademik danışmanlık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32</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Eğitim ve öğretimin düzenli bir biçimde yürütülmesini sağlamak ve öğrencilerin sorunlarının çözümüne yardımcı olmak için bölüm başkanlığının önerisi ilgili birim tarafından ders kayıtları başlamadan önce her öğrenci için bir akademik danışman görevlendirilir.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Danışmanlar, akademik takvimde belirtilen süre içerisinde danışmanı olduğu öğrencilerin ders kayıtlarına yardımcı olur ve öğrenci tarafından onaylanmış ders kayıtlarını kontrol ederek onaylar. Hatalı yapılan ders kayıtları için öğrenciyi uyarır ve gerekli düzeltmeyi yaptıktan sonra ders kaydını onaylar.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İlgili birimin aldığı kararların öğrencilere duyurulmasında yardımcı olurlar.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Mezuniyet</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33</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 bu Yönetmelikte belirtilen koşulları ve kayıtlı bulundukları eğitim-öğretim programları için ilgili kurullarca belirlenen yükümlülükleri yerine getirerek mezuniyete hak kazanırlar.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Disiplin işleri</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34</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Öğrencilerin disiplin iş ve işlemleri, Yükseköğretim Kurumları Öğrenci Disiplin Yönetmeliği hükümlerine göre yürütülür.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Tebligat ve adres bildirme</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35</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Tebligat; öğrencinin kendisine elden veya Üniversiteye bildirdiği adrese iadeli taahhütlü olarak yapılır.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(2) Üniversiteye bildirdikleri adresi değiştirdikleri halde, bunu ilgili birime bildirmemiş veya yanlış ve eksik adres vermiş olan öğrencilerin yükseköğretim kurumundaki mevcut adreslerine tebligatın gönderilmesi halinde tebligat kendilerine yapılmış sayılır.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sz w:val="18"/>
                      <w:szCs w:val="18"/>
                      <w:lang w:eastAsia="en-US"/>
                    </w:rPr>
                    <w:t>(3) Öğrenciler, ilgili birim ve Üniversitenin resmi internet sitesinde yapılan duyuruları takip etmekle yükümlüdür.</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BEŞİNCİ BÖLÜM</w:t>
                  </w:r>
                </w:p>
                <w:p w:rsidR="007D4668" w:rsidRPr="007D4668" w:rsidRDefault="007D4668" w:rsidP="007D4668">
                  <w:pPr>
                    <w:spacing w:after="0" w:line="240" w:lineRule="exact"/>
                    <w:jc w:val="center"/>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Çeşitli ve Son Hükümler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Yönetmelikte hüküm bulunmayan haller</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36</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Yönetmelikte hüküm bulunmayan hallerde; ilgili diğer mevzuat hükümleri ile Yükseköğretim Kurulu, Senato ve birimlerin ilgili kurullarının kararları uygulanır.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Yürürlükten kaldırılan yönetmelik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37</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12/11/2007 tarihli ve 26698 sayılı Resmî Gazete’de yayımlanan Siirt Üniversitesi Ön lisans ve Lisans Eğitim-Öğretim Yönetmeliği yürürlükten kaldırılmıştır.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Yürürlük</w:t>
                  </w:r>
                </w:p>
                <w:p w:rsidR="007D4668" w:rsidRPr="007D4668" w:rsidRDefault="00CF7AFA"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Pr>
                      <w:rFonts w:ascii="Times New Roman" w:eastAsia="Times New Roman" w:hAnsi="Times New Roman" w:cs="Times New Roman"/>
                      <w:b/>
                      <w:sz w:val="18"/>
                      <w:szCs w:val="18"/>
                      <w:lang w:eastAsia="en-US"/>
                    </w:rPr>
                    <w:t>MADDE 38</w:t>
                  </w:r>
                  <w:r w:rsidR="007D4668" w:rsidRPr="007D4668">
                    <w:rPr>
                      <w:rFonts w:ascii="Times New Roman" w:eastAsia="Times New Roman" w:hAnsi="Times New Roman" w:cs="Times New Roman"/>
                      <w:b/>
                      <w:sz w:val="18"/>
                      <w:szCs w:val="18"/>
                      <w:lang w:eastAsia="en-US"/>
                    </w:rPr>
                    <w:t>–</w:t>
                  </w:r>
                  <w:r w:rsidR="007D4668" w:rsidRPr="007D4668">
                    <w:rPr>
                      <w:rFonts w:ascii="Times New Roman" w:eastAsia="Times New Roman" w:hAnsi="Times New Roman" w:cs="Times New Roman"/>
                      <w:sz w:val="18"/>
                      <w:szCs w:val="18"/>
                      <w:lang w:eastAsia="en-US"/>
                    </w:rPr>
                    <w:t>(1) Bu Yönetmelik 2012-2013 Eğitim-Öğretim yılı başından geçerli olmak üzere yayımı tarihinde yürürlüğe girer.</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b/>
                      <w:sz w:val="18"/>
                      <w:szCs w:val="18"/>
                      <w:lang w:eastAsia="en-US"/>
                    </w:rPr>
                  </w:pPr>
                  <w:r w:rsidRPr="007D4668">
                    <w:rPr>
                      <w:rFonts w:ascii="Times New Roman" w:eastAsia="Times New Roman" w:hAnsi="Times New Roman" w:cs="Times New Roman"/>
                      <w:b/>
                      <w:sz w:val="18"/>
                      <w:szCs w:val="18"/>
                      <w:lang w:eastAsia="en-US"/>
                    </w:rPr>
                    <w:t>Yürütme</w:t>
                  </w:r>
                </w:p>
                <w:p w:rsidR="007D4668" w:rsidRPr="007D4668" w:rsidRDefault="007D4668" w:rsidP="007D4668">
                  <w:pPr>
                    <w:tabs>
                      <w:tab w:val="left" w:pos="566"/>
                    </w:tabs>
                    <w:spacing w:after="0" w:line="240" w:lineRule="exact"/>
                    <w:ind w:firstLine="566"/>
                    <w:jc w:val="both"/>
                    <w:rPr>
                      <w:rFonts w:ascii="Times New Roman" w:eastAsia="Times New Roman" w:hAnsi="Times New Roman" w:cs="Times New Roman"/>
                      <w:sz w:val="18"/>
                      <w:szCs w:val="18"/>
                      <w:lang w:eastAsia="en-US"/>
                    </w:rPr>
                  </w:pPr>
                  <w:r w:rsidRPr="007D4668">
                    <w:rPr>
                      <w:rFonts w:ascii="Times New Roman" w:eastAsia="Times New Roman" w:hAnsi="Times New Roman" w:cs="Times New Roman"/>
                      <w:b/>
                      <w:sz w:val="18"/>
                      <w:szCs w:val="18"/>
                      <w:lang w:eastAsia="en-US"/>
                    </w:rPr>
                    <w:t>MADDE 39 –</w:t>
                  </w:r>
                  <w:r w:rsidRPr="007D4668">
                    <w:rPr>
                      <w:rFonts w:ascii="Times New Roman" w:eastAsia="Times New Roman" w:hAnsi="Times New Roman" w:cs="Times New Roman"/>
                      <w:sz w:val="18"/>
                      <w:szCs w:val="18"/>
                      <w:lang w:eastAsia="en-US"/>
                    </w:rPr>
                    <w:t>(1) Bu Yönetmelik hükümlerini Siirt Üniversitesi Rektörü yürütür.</w:t>
                  </w:r>
                </w:p>
                <w:p w:rsidR="007D4668" w:rsidRPr="007D4668" w:rsidRDefault="007D4668" w:rsidP="007D4668">
                  <w:pPr>
                    <w:spacing w:before="100" w:beforeAutospacing="1" w:after="100" w:afterAutospacing="1" w:line="240" w:lineRule="auto"/>
                    <w:jc w:val="center"/>
                    <w:rPr>
                      <w:rFonts w:ascii="Arial" w:eastAsia="Times New Roman" w:hAnsi="Arial" w:cs="Arial"/>
                      <w:b/>
                      <w:color w:val="000080"/>
                      <w:sz w:val="18"/>
                      <w:szCs w:val="18"/>
                    </w:rPr>
                  </w:pPr>
                </w:p>
              </w:tc>
            </w:tr>
          </w:tbl>
          <w:p w:rsidR="007D4668" w:rsidRPr="007D4668" w:rsidRDefault="007D4668" w:rsidP="007D4668">
            <w:pPr>
              <w:spacing w:after="0" w:line="240" w:lineRule="auto"/>
              <w:jc w:val="center"/>
              <w:rPr>
                <w:rFonts w:ascii="Times New Roman" w:eastAsia="Times New Roman" w:hAnsi="Times New Roman" w:cs="Times New Roman"/>
                <w:sz w:val="20"/>
                <w:szCs w:val="20"/>
              </w:rPr>
            </w:pPr>
          </w:p>
        </w:tc>
      </w:tr>
    </w:tbl>
    <w:p w:rsidR="007D4668" w:rsidRPr="007D4668" w:rsidRDefault="007D4668" w:rsidP="007D4668">
      <w:pPr>
        <w:spacing w:after="0" w:line="240" w:lineRule="auto"/>
        <w:jc w:val="center"/>
        <w:rPr>
          <w:rFonts w:ascii="Times New Roman" w:eastAsia="Times New Roman" w:hAnsi="Times New Roman" w:cs="Times New Roman"/>
          <w:sz w:val="24"/>
          <w:szCs w:val="24"/>
        </w:rPr>
      </w:pPr>
    </w:p>
    <w:p w:rsidR="005A01B3" w:rsidRDefault="005A01B3"/>
    <w:sectPr w:rsidR="005A01B3" w:rsidSect="007C02E9">
      <w:pgSz w:w="11906" w:h="16838"/>
      <w:pgMar w:top="709"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7D4668"/>
    <w:rsid w:val="00074C69"/>
    <w:rsid w:val="000C3A11"/>
    <w:rsid w:val="001C32D7"/>
    <w:rsid w:val="00240D0F"/>
    <w:rsid w:val="002E0610"/>
    <w:rsid w:val="00415BA4"/>
    <w:rsid w:val="00415F4B"/>
    <w:rsid w:val="005546E5"/>
    <w:rsid w:val="005A01B3"/>
    <w:rsid w:val="00621AF0"/>
    <w:rsid w:val="006A6AE3"/>
    <w:rsid w:val="007C02E9"/>
    <w:rsid w:val="007D4668"/>
    <w:rsid w:val="00883C98"/>
    <w:rsid w:val="009D4F06"/>
    <w:rsid w:val="00CF7AFA"/>
    <w:rsid w:val="00D51A4C"/>
    <w:rsid w:val="00DB1F7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AE3"/>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7D466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OrtaBaslk">
    <w:name w:val="2-Orta Baslık"/>
    <w:rsid w:val="007D4668"/>
    <w:pPr>
      <w:spacing w:after="0" w:line="240" w:lineRule="auto"/>
      <w:jc w:val="center"/>
    </w:pPr>
    <w:rPr>
      <w:rFonts w:ascii="Times New Roman" w:eastAsia="Times New Roman" w:hAnsi="Times New Roman" w:cs="Times New Roman"/>
      <w:b/>
      <w:sz w:val="19"/>
      <w:szCs w:val="20"/>
      <w:lang w:eastAsia="en-US"/>
    </w:rPr>
  </w:style>
  <w:style w:type="paragraph" w:customStyle="1" w:styleId="1-Baslk">
    <w:name w:val="1-Baslık"/>
    <w:rsid w:val="007D4668"/>
    <w:pPr>
      <w:tabs>
        <w:tab w:val="left" w:pos="566"/>
      </w:tabs>
      <w:spacing w:after="0" w:line="240" w:lineRule="auto"/>
    </w:pPr>
    <w:rPr>
      <w:rFonts w:ascii="Times New Roman" w:eastAsia="Times New Roman" w:hAnsi="Times New Roman" w:cs="Times New Roman"/>
      <w:szCs w:val="20"/>
      <w:u w:val="single"/>
      <w:lang w:eastAsia="en-US"/>
    </w:rPr>
  </w:style>
  <w:style w:type="paragraph" w:customStyle="1" w:styleId="3-NormalYaz">
    <w:name w:val="3-Normal Yazı"/>
    <w:rsid w:val="007D4668"/>
    <w:pPr>
      <w:tabs>
        <w:tab w:val="left" w:pos="566"/>
      </w:tabs>
      <w:spacing w:after="0" w:line="240" w:lineRule="auto"/>
      <w:jc w:val="both"/>
    </w:pPr>
    <w:rPr>
      <w:rFonts w:ascii="Times New Roman" w:eastAsia="Times New Roman" w:hAnsi="Times New Roman" w:cs="Times New Roman"/>
      <w:sz w:val="19"/>
      <w:szCs w:val="20"/>
      <w:lang w:eastAsia="en-US"/>
    </w:rPr>
  </w:style>
</w:styles>
</file>

<file path=word/webSettings.xml><?xml version="1.0" encoding="utf-8"?>
<w:webSettings xmlns:r="http://schemas.openxmlformats.org/officeDocument/2006/relationships" xmlns:w="http://schemas.openxmlformats.org/wordprocessingml/2006/main">
  <w:divs>
    <w:div w:id="495342865">
      <w:bodyDiv w:val="1"/>
      <w:marLeft w:val="0"/>
      <w:marRight w:val="0"/>
      <w:marTop w:val="0"/>
      <w:marBottom w:val="0"/>
      <w:divBdr>
        <w:top w:val="none" w:sz="0" w:space="0" w:color="auto"/>
        <w:left w:val="none" w:sz="0" w:space="0" w:color="auto"/>
        <w:bottom w:val="none" w:sz="0" w:space="0" w:color="auto"/>
        <w:right w:val="none" w:sz="0" w:space="0" w:color="auto"/>
      </w:divBdr>
      <w:divsChild>
        <w:div w:id="1022635776">
          <w:marLeft w:val="0"/>
          <w:marRight w:val="0"/>
          <w:marTop w:val="0"/>
          <w:marBottom w:val="0"/>
          <w:divBdr>
            <w:top w:val="none" w:sz="0" w:space="0" w:color="auto"/>
            <w:left w:val="none" w:sz="0" w:space="0" w:color="auto"/>
            <w:bottom w:val="none" w:sz="0" w:space="0" w:color="auto"/>
            <w:right w:val="none" w:sz="0" w:space="0" w:color="auto"/>
          </w:divBdr>
          <w:divsChild>
            <w:div w:id="681132071">
              <w:marLeft w:val="0"/>
              <w:marRight w:val="0"/>
              <w:marTop w:val="0"/>
              <w:marBottom w:val="0"/>
              <w:divBdr>
                <w:top w:val="none" w:sz="0" w:space="0" w:color="auto"/>
                <w:left w:val="none" w:sz="0" w:space="0" w:color="auto"/>
                <w:bottom w:val="none" w:sz="0" w:space="0" w:color="auto"/>
                <w:right w:val="none" w:sz="0" w:space="0" w:color="auto"/>
              </w:divBdr>
              <w:divsChild>
                <w:div w:id="65106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3402</Words>
  <Characters>19397</Characters>
  <Application>Microsoft Office Word</Application>
  <DocSecurity>0</DocSecurity>
  <Lines>161</Lines>
  <Paragraphs>45</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22754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Hewlett-Packard Company</cp:lastModifiedBy>
  <cp:revision>3</cp:revision>
  <dcterms:created xsi:type="dcterms:W3CDTF">2015-01-08T07:15:00Z</dcterms:created>
  <dcterms:modified xsi:type="dcterms:W3CDTF">2015-01-08T07:56:00Z</dcterms:modified>
</cp:coreProperties>
</file>